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CE28B" w14:textId="5739446B" w:rsidR="004F533B" w:rsidRPr="004F58DC" w:rsidRDefault="00064D84" w:rsidP="004F58DC">
      <w:pPr>
        <w:jc w:val="center"/>
        <w:rPr>
          <w:rFonts w:asciiTheme="majorHAnsi" w:hAnsiTheme="majorHAnsi"/>
          <w:b/>
          <w:sz w:val="28"/>
        </w:rPr>
      </w:pPr>
      <w:r w:rsidRPr="004F58DC">
        <w:rPr>
          <w:rFonts w:asciiTheme="majorHAnsi" w:hAnsiTheme="majorHAnsi"/>
          <w:b/>
          <w:sz w:val="28"/>
        </w:rPr>
        <w:t>Indice</w:t>
      </w:r>
      <w:r w:rsidR="001D2684" w:rsidRPr="004F58DC">
        <w:rPr>
          <w:rFonts w:asciiTheme="majorHAnsi" w:hAnsiTheme="majorHAnsi"/>
          <w:b/>
          <w:sz w:val="28"/>
        </w:rPr>
        <w:t xml:space="preserve"> generale del </w:t>
      </w:r>
      <w:r w:rsidR="004F58DC">
        <w:rPr>
          <w:rFonts w:asciiTheme="majorHAnsi" w:hAnsiTheme="majorHAnsi"/>
          <w:b/>
          <w:sz w:val="28"/>
        </w:rPr>
        <w:t>Direttorio Catechesi</w:t>
      </w:r>
    </w:p>
    <w:p w14:paraId="623BDCA4" w14:textId="46D1B022" w:rsidR="00064D84" w:rsidRDefault="004F58DC" w:rsidP="004F58DC">
      <w:pPr>
        <w:rPr>
          <w:rFonts w:asciiTheme="majorHAnsi" w:hAnsiTheme="majorHAnsi"/>
        </w:rPr>
      </w:pPr>
      <w:r>
        <w:rPr>
          <w:rFonts w:asciiTheme="majorHAnsi" w:hAnsiTheme="majorHAnsi"/>
          <w:smallCaps/>
        </w:rPr>
        <w:t>Pontificio C</w:t>
      </w:r>
      <w:r w:rsidRPr="004F58DC">
        <w:rPr>
          <w:rFonts w:asciiTheme="majorHAnsi" w:hAnsiTheme="majorHAnsi"/>
          <w:smallCaps/>
        </w:rPr>
        <w:t>onsiglio per la promozione della nuova evangelizzazione</w:t>
      </w:r>
      <w:r>
        <w:rPr>
          <w:rFonts w:asciiTheme="majorHAnsi" w:hAnsiTheme="majorHAnsi"/>
        </w:rPr>
        <w:t>, Direttorio per la catechesi, 2020</w:t>
      </w:r>
    </w:p>
    <w:p w14:paraId="755EDE71" w14:textId="77777777" w:rsidR="004F58DC" w:rsidRDefault="004F58DC" w:rsidP="004F58DC">
      <w:pPr>
        <w:rPr>
          <w:rFonts w:asciiTheme="majorHAnsi" w:hAnsiTheme="majorHAnsi"/>
        </w:rPr>
      </w:pPr>
    </w:p>
    <w:p w14:paraId="3F46674F" w14:textId="77777777" w:rsidR="004F58DC" w:rsidRPr="004F58DC" w:rsidRDefault="004F58DC" w:rsidP="004F58DC">
      <w:pPr>
        <w:rPr>
          <w:rFonts w:asciiTheme="majorHAnsi" w:hAnsiTheme="majorHAnsi"/>
        </w:rPr>
      </w:pPr>
      <w:bookmarkStart w:id="0" w:name="_GoBack"/>
      <w:bookmarkEnd w:id="0"/>
    </w:p>
    <w:p w14:paraId="2D8C5A05" w14:textId="77777777" w:rsidR="00064D84" w:rsidRPr="004F58DC" w:rsidRDefault="00064D84" w:rsidP="004F58DC">
      <w:pPr>
        <w:jc w:val="center"/>
        <w:rPr>
          <w:rFonts w:asciiTheme="majorHAnsi" w:hAnsiTheme="majorHAnsi"/>
          <w:b/>
          <w:bCs/>
          <w:smallCaps/>
        </w:rPr>
      </w:pPr>
      <w:r w:rsidRPr="004F58DC">
        <w:rPr>
          <w:rFonts w:asciiTheme="majorHAnsi" w:hAnsiTheme="majorHAnsi"/>
          <w:b/>
          <w:bCs/>
          <w:smallCaps/>
        </w:rPr>
        <w:t>Parte prima</w:t>
      </w:r>
    </w:p>
    <w:p w14:paraId="7C662E81" w14:textId="77777777" w:rsidR="00064D84" w:rsidRPr="004F58DC" w:rsidRDefault="00064D84" w:rsidP="004F58DC">
      <w:pPr>
        <w:jc w:val="center"/>
        <w:rPr>
          <w:rFonts w:asciiTheme="majorHAnsi" w:hAnsiTheme="majorHAnsi"/>
          <w:b/>
          <w:bCs/>
          <w:smallCaps/>
        </w:rPr>
      </w:pPr>
      <w:r w:rsidRPr="004F58DC">
        <w:rPr>
          <w:rFonts w:asciiTheme="majorHAnsi" w:hAnsiTheme="majorHAnsi"/>
          <w:b/>
          <w:bCs/>
          <w:smallCaps/>
        </w:rPr>
        <w:t>La catechesi nella missione evangelizzatrice della Chiesa</w:t>
      </w:r>
    </w:p>
    <w:p w14:paraId="77131002" w14:textId="77777777" w:rsidR="00396D24" w:rsidRPr="004F58DC" w:rsidRDefault="00396D24" w:rsidP="004F58DC">
      <w:pPr>
        <w:jc w:val="center"/>
        <w:rPr>
          <w:rFonts w:asciiTheme="majorHAnsi" w:hAnsiTheme="majorHAnsi"/>
          <w:b/>
          <w:bCs/>
          <w:smallCaps/>
        </w:rPr>
      </w:pPr>
    </w:p>
    <w:p w14:paraId="315A1463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La rivelazione e la sua trasmissione</w:t>
      </w:r>
    </w:p>
    <w:p w14:paraId="67CCF6F3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L’identità della catechesi</w:t>
      </w:r>
    </w:p>
    <w:p w14:paraId="3D2AB214" w14:textId="77777777" w:rsidR="00396D24" w:rsidRPr="004F58DC" w:rsidRDefault="00396D24" w:rsidP="004F58DC">
      <w:pPr>
        <w:pStyle w:val="Paragrafoelenco"/>
        <w:numPr>
          <w:ilvl w:val="1"/>
          <w:numId w:val="8"/>
        </w:numPr>
        <w:rPr>
          <w:rFonts w:asciiTheme="majorHAnsi" w:hAnsiTheme="majorHAnsi"/>
          <w:i/>
        </w:rPr>
      </w:pPr>
      <w:r w:rsidRPr="004F58DC">
        <w:rPr>
          <w:rFonts w:asciiTheme="majorHAnsi" w:hAnsiTheme="majorHAnsi"/>
          <w:u w:val="single"/>
        </w:rPr>
        <w:t xml:space="preserve">Natura della </w:t>
      </w:r>
      <w:proofErr w:type="spellStart"/>
      <w:r w:rsidRPr="004F58DC">
        <w:rPr>
          <w:rFonts w:asciiTheme="majorHAnsi" w:hAnsiTheme="majorHAnsi"/>
          <w:u w:val="single"/>
        </w:rPr>
        <w:t>catech</w:t>
      </w:r>
      <w:r w:rsidR="001D2684" w:rsidRPr="004F58DC">
        <w:rPr>
          <w:rFonts w:asciiTheme="majorHAnsi" w:hAnsiTheme="majorHAnsi"/>
          <w:u w:val="single"/>
        </w:rPr>
        <w:t>esi</w:t>
      </w:r>
      <w:r w:rsidR="001D2684" w:rsidRPr="004F58DC">
        <w:rPr>
          <w:rStyle w:val="CitazioneCarattere"/>
          <w:rFonts w:asciiTheme="majorHAnsi" w:hAnsiTheme="majorHAnsi"/>
          <w:i w:val="0"/>
          <w:vertAlign w:val="superscript"/>
        </w:rPr>
        <w:t>a</w:t>
      </w:r>
      <w:proofErr w:type="spellEnd"/>
      <w:r w:rsidR="000357F1" w:rsidRPr="004F58DC">
        <w:rPr>
          <w:rFonts w:asciiTheme="majorHAnsi" w:hAnsiTheme="majorHAnsi"/>
        </w:rPr>
        <w:tab/>
      </w:r>
      <w:r w:rsidR="000357F1" w:rsidRPr="004F58DC">
        <w:rPr>
          <w:rFonts w:asciiTheme="majorHAnsi" w:hAnsiTheme="majorHAnsi"/>
        </w:rPr>
        <w:tab/>
      </w:r>
      <w:r w:rsidR="000357F1" w:rsidRPr="004F58DC">
        <w:rPr>
          <w:rFonts w:asciiTheme="majorHAnsi" w:hAnsiTheme="majorHAnsi"/>
        </w:rPr>
        <w:tab/>
      </w:r>
      <w:r w:rsidR="000357F1" w:rsidRPr="004F58DC">
        <w:rPr>
          <w:rFonts w:asciiTheme="majorHAnsi" w:hAnsiTheme="majorHAnsi"/>
        </w:rPr>
        <w:tab/>
      </w:r>
    </w:p>
    <w:p w14:paraId="29FE6F07" w14:textId="77777777" w:rsidR="00396D24" w:rsidRPr="004F58DC" w:rsidRDefault="00396D24" w:rsidP="004F58DC">
      <w:pPr>
        <w:pStyle w:val="Paragrafoelenco"/>
        <w:numPr>
          <w:ilvl w:val="1"/>
          <w:numId w:val="8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La catechesi del processo dell’evangelizzazione</w:t>
      </w:r>
    </w:p>
    <w:p w14:paraId="20F61724" w14:textId="77777777" w:rsidR="00396D24" w:rsidRPr="004F58DC" w:rsidRDefault="00396D24" w:rsidP="004F58DC">
      <w:pPr>
        <w:pStyle w:val="Paragrafoelenco"/>
        <w:numPr>
          <w:ilvl w:val="1"/>
          <w:numId w:val="8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Finalità della catechesi</w:t>
      </w:r>
    </w:p>
    <w:p w14:paraId="1BE29161" w14:textId="77777777" w:rsidR="00396D24" w:rsidRPr="004F58DC" w:rsidRDefault="00396D24" w:rsidP="004F58DC">
      <w:pPr>
        <w:pStyle w:val="Paragrafoelenco"/>
        <w:numPr>
          <w:ilvl w:val="1"/>
          <w:numId w:val="8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Compiti della catechesi</w:t>
      </w:r>
    </w:p>
    <w:p w14:paraId="5DEFECC9" w14:textId="77777777" w:rsidR="00396D24" w:rsidRPr="004F58DC" w:rsidRDefault="001D2684" w:rsidP="004F58DC">
      <w:pPr>
        <w:pStyle w:val="Paragrafoelenco"/>
        <w:numPr>
          <w:ilvl w:val="1"/>
          <w:numId w:val="8"/>
        </w:numPr>
        <w:rPr>
          <w:rFonts w:asciiTheme="majorHAnsi" w:hAnsiTheme="majorHAnsi"/>
        </w:rPr>
      </w:pPr>
      <w:r w:rsidRPr="004F58DC">
        <w:rPr>
          <w:rFonts w:asciiTheme="majorHAnsi" w:hAnsiTheme="majorHAnsi"/>
          <w:u w:val="single"/>
        </w:rPr>
        <w:t xml:space="preserve">Fonti della </w:t>
      </w:r>
      <w:proofErr w:type="spellStart"/>
      <w:r w:rsidRPr="004F58DC">
        <w:rPr>
          <w:rFonts w:asciiTheme="majorHAnsi" w:hAnsiTheme="majorHAnsi"/>
          <w:u w:val="single"/>
        </w:rPr>
        <w:t>catechesi</w:t>
      </w:r>
      <w:r w:rsidRPr="004F58DC">
        <w:rPr>
          <w:rFonts w:asciiTheme="majorHAnsi" w:hAnsiTheme="majorHAnsi"/>
          <w:vertAlign w:val="superscript"/>
        </w:rPr>
        <w:t>b</w:t>
      </w:r>
      <w:proofErr w:type="spellEnd"/>
      <w:r w:rsidR="00396D24" w:rsidRPr="004F58DC">
        <w:rPr>
          <w:rFonts w:asciiTheme="majorHAnsi" w:hAnsiTheme="majorHAnsi"/>
        </w:rPr>
        <w:t xml:space="preserve"> </w:t>
      </w:r>
    </w:p>
    <w:p w14:paraId="585BBDD9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Il catechista</w:t>
      </w:r>
    </w:p>
    <w:p w14:paraId="528F1E13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La formazione dei catechisti</w:t>
      </w:r>
    </w:p>
    <w:p w14:paraId="57819C7D" w14:textId="77777777" w:rsidR="00064D84" w:rsidRPr="004F58DC" w:rsidRDefault="00064D84" w:rsidP="004F58DC">
      <w:pPr>
        <w:rPr>
          <w:rFonts w:asciiTheme="majorHAnsi" w:hAnsiTheme="majorHAnsi"/>
        </w:rPr>
      </w:pPr>
    </w:p>
    <w:p w14:paraId="225D3C3B" w14:textId="77777777" w:rsidR="00064D84" w:rsidRPr="004F58DC" w:rsidRDefault="00064D84" w:rsidP="004F58DC">
      <w:pPr>
        <w:jc w:val="center"/>
        <w:rPr>
          <w:rFonts w:asciiTheme="majorHAnsi" w:hAnsiTheme="majorHAnsi"/>
          <w:b/>
          <w:bCs/>
          <w:smallCaps/>
        </w:rPr>
      </w:pPr>
      <w:r w:rsidRPr="004F58DC">
        <w:rPr>
          <w:rFonts w:asciiTheme="majorHAnsi" w:hAnsiTheme="majorHAnsi"/>
          <w:b/>
          <w:bCs/>
          <w:smallCaps/>
        </w:rPr>
        <w:t xml:space="preserve">Parte seconda </w:t>
      </w:r>
    </w:p>
    <w:p w14:paraId="6DDC6E96" w14:textId="77777777" w:rsidR="00064D84" w:rsidRPr="004F58DC" w:rsidRDefault="00064D84" w:rsidP="004F58DC">
      <w:pPr>
        <w:jc w:val="center"/>
        <w:rPr>
          <w:rFonts w:asciiTheme="majorHAnsi" w:hAnsiTheme="majorHAnsi"/>
          <w:b/>
          <w:bCs/>
          <w:smallCaps/>
        </w:rPr>
      </w:pPr>
      <w:r w:rsidRPr="004F58DC">
        <w:rPr>
          <w:rFonts w:asciiTheme="majorHAnsi" w:hAnsiTheme="majorHAnsi"/>
          <w:b/>
          <w:bCs/>
          <w:smallCaps/>
        </w:rPr>
        <w:t>il processo la catechesi</w:t>
      </w:r>
    </w:p>
    <w:p w14:paraId="3C8B5173" w14:textId="77777777" w:rsidR="00064D84" w:rsidRPr="004F58DC" w:rsidRDefault="00064D84" w:rsidP="004F58DC">
      <w:pPr>
        <w:rPr>
          <w:rFonts w:asciiTheme="majorHAnsi" w:hAnsiTheme="majorHAnsi"/>
        </w:rPr>
      </w:pPr>
    </w:p>
    <w:p w14:paraId="47C0846A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  <w:u w:val="single"/>
        </w:rPr>
        <w:t>La pedagogia della fede</w:t>
      </w:r>
      <w:r w:rsidR="001D2684" w:rsidRPr="004F58DC">
        <w:rPr>
          <w:rFonts w:asciiTheme="majorHAnsi" w:hAnsiTheme="majorHAnsi"/>
          <w:vertAlign w:val="superscript"/>
        </w:rPr>
        <w:t xml:space="preserve"> c</w:t>
      </w:r>
    </w:p>
    <w:p w14:paraId="3FA4B5F8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Il catechismo della Chiesa cattolica</w:t>
      </w:r>
    </w:p>
    <w:p w14:paraId="2CE5AE4E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  <w:u w:val="single"/>
        </w:rPr>
        <w:t>La metodologia della catechesi</w:t>
      </w:r>
      <w:r w:rsidR="001D2684" w:rsidRPr="004F58DC">
        <w:rPr>
          <w:rFonts w:asciiTheme="majorHAnsi" w:hAnsiTheme="majorHAnsi"/>
          <w:vertAlign w:val="superscript"/>
        </w:rPr>
        <w:t xml:space="preserve"> d</w:t>
      </w:r>
    </w:p>
    <w:p w14:paraId="025CBD8E" w14:textId="77777777" w:rsidR="00396D2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  <w:u w:val="single"/>
        </w:rPr>
        <w:t>La catechesi della vita delle persone</w:t>
      </w:r>
      <w:r w:rsidR="001D2684" w:rsidRPr="004F58DC">
        <w:rPr>
          <w:rFonts w:asciiTheme="majorHAnsi" w:hAnsiTheme="majorHAnsi"/>
          <w:vertAlign w:val="superscript"/>
        </w:rPr>
        <w:t xml:space="preserve"> </w:t>
      </w:r>
      <w:proofErr w:type="gramStart"/>
      <w:r w:rsidR="001D2684" w:rsidRPr="004F58DC">
        <w:rPr>
          <w:rFonts w:asciiTheme="majorHAnsi" w:hAnsiTheme="majorHAnsi"/>
          <w:vertAlign w:val="superscript"/>
        </w:rPr>
        <w:t>e</w:t>
      </w:r>
      <w:proofErr w:type="gramEnd"/>
    </w:p>
    <w:p w14:paraId="3AE0B48C" w14:textId="77777777" w:rsidR="00064D84" w:rsidRPr="004F58DC" w:rsidRDefault="00064D84" w:rsidP="004F58DC">
      <w:pPr>
        <w:rPr>
          <w:rFonts w:asciiTheme="majorHAnsi" w:hAnsiTheme="majorHAnsi"/>
        </w:rPr>
      </w:pPr>
    </w:p>
    <w:p w14:paraId="597B2F09" w14:textId="77777777" w:rsidR="00064D84" w:rsidRPr="004F58DC" w:rsidRDefault="00064D84" w:rsidP="004F58DC">
      <w:pPr>
        <w:jc w:val="center"/>
        <w:rPr>
          <w:rFonts w:asciiTheme="majorHAnsi" w:hAnsiTheme="majorHAnsi"/>
          <w:b/>
          <w:bCs/>
          <w:smallCaps/>
        </w:rPr>
      </w:pPr>
      <w:r w:rsidRPr="004F58DC">
        <w:rPr>
          <w:rFonts w:asciiTheme="majorHAnsi" w:hAnsiTheme="majorHAnsi"/>
          <w:b/>
          <w:bCs/>
          <w:smallCaps/>
        </w:rPr>
        <w:t xml:space="preserve">Parte terza </w:t>
      </w:r>
    </w:p>
    <w:p w14:paraId="65C84462" w14:textId="77777777" w:rsidR="00064D84" w:rsidRPr="004F58DC" w:rsidRDefault="00064D84" w:rsidP="004F58DC">
      <w:pPr>
        <w:jc w:val="center"/>
        <w:rPr>
          <w:rFonts w:asciiTheme="majorHAnsi" w:hAnsiTheme="majorHAnsi"/>
          <w:b/>
          <w:bCs/>
          <w:smallCaps/>
        </w:rPr>
      </w:pPr>
      <w:r w:rsidRPr="004F58DC">
        <w:rPr>
          <w:rFonts w:asciiTheme="majorHAnsi" w:hAnsiTheme="majorHAnsi"/>
          <w:b/>
          <w:bCs/>
          <w:smallCaps/>
        </w:rPr>
        <w:t>la catechesi nelle chiese particolari</w:t>
      </w:r>
    </w:p>
    <w:p w14:paraId="4EF454D1" w14:textId="77777777" w:rsidR="00AA46C6" w:rsidRPr="004F58DC" w:rsidRDefault="00AA46C6" w:rsidP="004F58DC">
      <w:pPr>
        <w:jc w:val="center"/>
        <w:rPr>
          <w:rFonts w:asciiTheme="majorHAnsi" w:hAnsiTheme="majorHAnsi"/>
          <w:b/>
          <w:bCs/>
          <w:smallCaps/>
        </w:rPr>
      </w:pPr>
    </w:p>
    <w:p w14:paraId="0E66C160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La comunità cristiana soggetto della catechesi</w:t>
      </w:r>
    </w:p>
    <w:p w14:paraId="1715457C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La catechesi di fronte agli scenari culturali contemporanei</w:t>
      </w:r>
    </w:p>
    <w:p w14:paraId="26177612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La catechesi a servizio dell’inculturazione della fede</w:t>
      </w:r>
    </w:p>
    <w:p w14:paraId="6D196A13" w14:textId="77777777" w:rsidR="00064D84" w:rsidRPr="004F58DC" w:rsidRDefault="00064D84" w:rsidP="004F58D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4F58DC">
        <w:rPr>
          <w:rFonts w:asciiTheme="majorHAnsi" w:hAnsiTheme="majorHAnsi"/>
        </w:rPr>
        <w:t>Gli organismi a servizio della catechesi</w:t>
      </w:r>
    </w:p>
    <w:p w14:paraId="1993D0BB" w14:textId="77777777" w:rsidR="004F58DC" w:rsidRDefault="004F58DC" w:rsidP="004F58DC">
      <w:pPr>
        <w:jc w:val="both"/>
        <w:rPr>
          <w:rFonts w:asciiTheme="majorHAnsi" w:hAnsiTheme="majorHAnsi"/>
        </w:rPr>
      </w:pPr>
    </w:p>
    <w:p w14:paraId="4B029F40" w14:textId="77777777" w:rsidR="004F58DC" w:rsidRDefault="004F58DC" w:rsidP="004F58DC">
      <w:pPr>
        <w:jc w:val="both"/>
        <w:rPr>
          <w:rFonts w:asciiTheme="majorHAnsi" w:hAnsiTheme="majorHAnsi"/>
        </w:rPr>
      </w:pPr>
    </w:p>
    <w:p w14:paraId="3EA4470C" w14:textId="77777777" w:rsidR="004F58DC" w:rsidRDefault="004F58DC" w:rsidP="004F58DC">
      <w:pPr>
        <w:jc w:val="both"/>
        <w:rPr>
          <w:rFonts w:asciiTheme="majorHAnsi" w:hAnsiTheme="majorHAnsi"/>
        </w:rPr>
      </w:pPr>
    </w:p>
    <w:p w14:paraId="56BB47E9" w14:textId="69C29567" w:rsidR="004F58DC" w:rsidRPr="004F58DC" w:rsidRDefault="004F58DC" w:rsidP="004F58DC">
      <w:pPr>
        <w:jc w:val="both"/>
        <w:rPr>
          <w:rFonts w:asciiTheme="majorHAnsi" w:hAnsiTheme="majorHAnsi"/>
          <w:b/>
        </w:rPr>
      </w:pPr>
      <w:r w:rsidRPr="004F58DC">
        <w:rPr>
          <w:rFonts w:asciiTheme="majorHAnsi" w:hAnsiTheme="majorHAnsi"/>
          <w:b/>
        </w:rPr>
        <w:t>Rimandi</w:t>
      </w:r>
    </w:p>
    <w:p w14:paraId="428ABC33" w14:textId="77777777" w:rsidR="00AA46C6" w:rsidRPr="004F58DC" w:rsidRDefault="001D2684" w:rsidP="004F58DC">
      <w:pPr>
        <w:jc w:val="both"/>
        <w:rPr>
          <w:rFonts w:asciiTheme="majorHAnsi" w:hAnsiTheme="majorHAnsi"/>
          <w:color w:val="3366FF"/>
        </w:rPr>
      </w:pPr>
      <w:r w:rsidRPr="004F58DC">
        <w:rPr>
          <w:rStyle w:val="CitazioneCarattere"/>
          <w:rFonts w:asciiTheme="majorHAnsi" w:hAnsiTheme="majorHAnsi"/>
          <w:i w:val="0"/>
          <w:color w:val="3366FF"/>
          <w:vertAlign w:val="superscript"/>
        </w:rPr>
        <w:t>a</w:t>
      </w:r>
      <w:r w:rsidR="000357F1" w:rsidRPr="004F58DC">
        <w:rPr>
          <w:rFonts w:asciiTheme="majorHAnsi" w:hAnsiTheme="majorHAnsi"/>
          <w:color w:val="3366FF"/>
        </w:rPr>
        <w:t xml:space="preserve"> relazione </w:t>
      </w:r>
      <w:r w:rsidRPr="004F58DC">
        <w:rPr>
          <w:rFonts w:asciiTheme="majorHAnsi" w:hAnsiTheme="majorHAnsi"/>
          <w:color w:val="3366FF"/>
        </w:rPr>
        <w:t xml:space="preserve">della C. </w:t>
      </w:r>
      <w:r w:rsidR="000357F1" w:rsidRPr="004F58DC">
        <w:rPr>
          <w:rFonts w:asciiTheme="majorHAnsi" w:hAnsiTheme="majorHAnsi"/>
          <w:color w:val="3366FF"/>
        </w:rPr>
        <w:t>con il kerygma</w:t>
      </w:r>
      <w:r w:rsidRPr="004F58DC">
        <w:rPr>
          <w:rFonts w:asciiTheme="majorHAnsi" w:hAnsiTheme="majorHAnsi"/>
          <w:color w:val="3366FF"/>
        </w:rPr>
        <w:t>.</w:t>
      </w:r>
    </w:p>
    <w:p w14:paraId="5F62B9E1" w14:textId="77777777" w:rsidR="00AA46C6" w:rsidRPr="004F58DC" w:rsidRDefault="001D2684" w:rsidP="004F58DC">
      <w:pPr>
        <w:jc w:val="both"/>
        <w:rPr>
          <w:rFonts w:asciiTheme="majorHAnsi" w:hAnsiTheme="majorHAnsi"/>
          <w:color w:val="3366FF"/>
        </w:rPr>
      </w:pPr>
      <w:r w:rsidRPr="004F58DC">
        <w:rPr>
          <w:rFonts w:asciiTheme="majorHAnsi" w:hAnsiTheme="majorHAnsi"/>
          <w:color w:val="3366FF"/>
          <w:vertAlign w:val="superscript"/>
        </w:rPr>
        <w:t>b</w:t>
      </w:r>
      <w:r w:rsidR="00AA46C6" w:rsidRPr="004F58DC">
        <w:rPr>
          <w:rFonts w:asciiTheme="majorHAnsi" w:hAnsiTheme="majorHAnsi"/>
          <w:color w:val="3366FF"/>
        </w:rPr>
        <w:t xml:space="preserve"> la Parola di Dio nella Scrittura e nella Tradizione, il Magistero, la liturgia, la testimonianza dei santi dei martiri, la teologia, la cultura cristiana, la bellezza. </w:t>
      </w:r>
    </w:p>
    <w:p w14:paraId="6981E645" w14:textId="77777777" w:rsidR="00AA46C6" w:rsidRPr="004F58DC" w:rsidRDefault="001D2684" w:rsidP="004F58DC">
      <w:pPr>
        <w:jc w:val="both"/>
        <w:rPr>
          <w:rFonts w:asciiTheme="majorHAnsi" w:hAnsiTheme="majorHAnsi"/>
          <w:color w:val="3366FF"/>
        </w:rPr>
      </w:pPr>
      <w:r w:rsidRPr="004F58DC">
        <w:rPr>
          <w:rFonts w:asciiTheme="majorHAnsi" w:hAnsiTheme="majorHAnsi"/>
          <w:color w:val="3366FF"/>
          <w:vertAlign w:val="superscript"/>
        </w:rPr>
        <w:t xml:space="preserve">c </w:t>
      </w:r>
      <w:r w:rsidR="00AA46C6" w:rsidRPr="004F58DC">
        <w:rPr>
          <w:rFonts w:asciiTheme="majorHAnsi" w:hAnsiTheme="majorHAnsi"/>
          <w:color w:val="3366FF"/>
        </w:rPr>
        <w:t>Criteri per l’annuncio del messaggio evangelico: trinitario e cristologico, storico-salvif</w:t>
      </w:r>
      <w:r w:rsidRPr="004F58DC">
        <w:rPr>
          <w:rFonts w:asciiTheme="majorHAnsi" w:hAnsiTheme="majorHAnsi"/>
          <w:color w:val="3366FF"/>
        </w:rPr>
        <w:t>ic</w:t>
      </w:r>
      <w:r w:rsidR="00AA46C6" w:rsidRPr="004F58DC">
        <w:rPr>
          <w:rFonts w:asciiTheme="majorHAnsi" w:hAnsiTheme="majorHAnsi"/>
          <w:color w:val="3366FF"/>
        </w:rPr>
        <w:t>o, del primato della grazia della bellezza, delle potenzialità, dell’unità e dell’integrità della fede.</w:t>
      </w:r>
    </w:p>
    <w:p w14:paraId="376BD6BC" w14:textId="77777777" w:rsidR="00AA46C6" w:rsidRPr="004F58DC" w:rsidRDefault="001D2684" w:rsidP="004F58DC">
      <w:pPr>
        <w:jc w:val="both"/>
        <w:rPr>
          <w:rFonts w:asciiTheme="majorHAnsi" w:hAnsiTheme="majorHAnsi"/>
          <w:color w:val="3366FF"/>
        </w:rPr>
      </w:pPr>
      <w:r w:rsidRPr="004F58DC">
        <w:rPr>
          <w:rFonts w:asciiTheme="majorHAnsi" w:hAnsiTheme="majorHAnsi"/>
          <w:color w:val="3366FF"/>
          <w:vertAlign w:val="superscript"/>
        </w:rPr>
        <w:t xml:space="preserve">d </w:t>
      </w:r>
      <w:r w:rsidR="00AA46C6" w:rsidRPr="004F58DC">
        <w:rPr>
          <w:rFonts w:asciiTheme="majorHAnsi" w:hAnsiTheme="majorHAnsi"/>
          <w:color w:val="3366FF"/>
        </w:rPr>
        <w:t xml:space="preserve">la relazione </w:t>
      </w:r>
      <w:proofErr w:type="gramStart"/>
      <w:r w:rsidR="00AA46C6" w:rsidRPr="004F58DC">
        <w:rPr>
          <w:rFonts w:asciiTheme="majorHAnsi" w:hAnsiTheme="majorHAnsi"/>
          <w:color w:val="3366FF"/>
        </w:rPr>
        <w:t>contenuto</w:t>
      </w:r>
      <w:proofErr w:type="gramEnd"/>
      <w:r w:rsidR="00AA46C6" w:rsidRPr="004F58DC">
        <w:rPr>
          <w:rFonts w:asciiTheme="majorHAnsi" w:hAnsiTheme="majorHAnsi"/>
          <w:color w:val="3366FF"/>
        </w:rPr>
        <w:t>/metodo, l’esperienza umana, la memoria, il linguaggio (l. narrativo, l. dell’arte, l. e strumenti digitali),  il gruppo, lo spazio</w:t>
      </w:r>
      <w:r w:rsidRPr="004F58DC">
        <w:rPr>
          <w:rFonts w:asciiTheme="majorHAnsi" w:hAnsiTheme="majorHAnsi"/>
          <w:color w:val="3366FF"/>
        </w:rPr>
        <w:t>.</w:t>
      </w:r>
    </w:p>
    <w:p w14:paraId="57EE4243" w14:textId="04C46E99" w:rsidR="00064D84" w:rsidRPr="004F58DC" w:rsidRDefault="001D2684" w:rsidP="004F58DC">
      <w:pPr>
        <w:jc w:val="both"/>
        <w:rPr>
          <w:rFonts w:asciiTheme="majorHAnsi" w:hAnsiTheme="majorHAnsi"/>
          <w:color w:val="3366FF"/>
        </w:rPr>
      </w:pPr>
      <w:r w:rsidRPr="004F58DC">
        <w:rPr>
          <w:rFonts w:asciiTheme="majorHAnsi" w:hAnsiTheme="majorHAnsi"/>
          <w:color w:val="3366FF"/>
          <w:vertAlign w:val="superscript"/>
        </w:rPr>
        <w:t xml:space="preserve">e </w:t>
      </w:r>
      <w:r w:rsidR="00AA46C6" w:rsidRPr="004F58DC">
        <w:rPr>
          <w:rFonts w:asciiTheme="majorHAnsi" w:hAnsiTheme="majorHAnsi"/>
          <w:color w:val="3366FF"/>
        </w:rPr>
        <w:t>C. e famiglia, C. con i bambini ragazzi, C. nella realtà giovanile, C. con gli adulti, C. con gli anziani, C. con le persone con disabilità, C. con i migranti, C. con gli immigrati, C. con le persone marginali (carcere)</w:t>
      </w:r>
      <w:r w:rsidRPr="004F58DC">
        <w:rPr>
          <w:rFonts w:asciiTheme="majorHAnsi" w:hAnsiTheme="majorHAnsi"/>
          <w:color w:val="3366FF"/>
        </w:rPr>
        <w:t>.</w:t>
      </w:r>
    </w:p>
    <w:sectPr w:rsidR="00064D84" w:rsidRPr="004F58DC" w:rsidSect="004F533B">
      <w:footerReference w:type="default" r:id="rId8"/>
      <w:footnotePr>
        <w:numFmt w:val="lowerLetter"/>
      </w:footnotePr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93BFB" w14:textId="77777777" w:rsidR="001D2684" w:rsidRDefault="001D2684" w:rsidP="001D2684">
      <w:r>
        <w:separator/>
      </w:r>
    </w:p>
  </w:endnote>
  <w:endnote w:type="continuationSeparator" w:id="0">
    <w:p w14:paraId="4C144B36" w14:textId="77777777" w:rsidR="001D2684" w:rsidRDefault="001D2684" w:rsidP="001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34A6" w14:textId="21DDB0C9" w:rsidR="004F58DC" w:rsidRPr="004F58DC" w:rsidRDefault="004F58DC" w:rsidP="004F58DC">
    <w:pPr>
      <w:pStyle w:val="Pidipagina"/>
      <w:jc w:val="right"/>
      <w:rPr>
        <w:rFonts w:asciiTheme="majorHAnsi" w:hAnsiTheme="majorHAnsi"/>
        <w:i/>
        <w:color w:val="7F7F7F" w:themeColor="text1" w:themeTint="80"/>
        <w:sz w:val="22"/>
      </w:rPr>
    </w:pPr>
    <w:r w:rsidRPr="004F58DC">
      <w:rPr>
        <w:rFonts w:asciiTheme="majorHAnsi" w:hAnsiTheme="majorHAnsi"/>
        <w:i/>
        <w:color w:val="7F7F7F" w:themeColor="text1" w:themeTint="80"/>
        <w:sz w:val="22"/>
      </w:rPr>
      <w:t>Salesiani, 26 ottobre 2020                                                                                                                  D. Michele Roselli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D69C" w14:textId="77777777" w:rsidR="001D2684" w:rsidRDefault="001D2684" w:rsidP="001D2684">
      <w:r>
        <w:separator/>
      </w:r>
    </w:p>
  </w:footnote>
  <w:footnote w:type="continuationSeparator" w:id="0">
    <w:p w14:paraId="65052E08" w14:textId="77777777" w:rsidR="001D2684" w:rsidRDefault="001D2684" w:rsidP="001D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D9"/>
    <w:multiLevelType w:val="hybridMultilevel"/>
    <w:tmpl w:val="146A8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60A3"/>
    <w:multiLevelType w:val="hybridMultilevel"/>
    <w:tmpl w:val="4D1EC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1494"/>
    <w:multiLevelType w:val="multilevel"/>
    <w:tmpl w:val="BF407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546F6B"/>
    <w:multiLevelType w:val="hybridMultilevel"/>
    <w:tmpl w:val="3C7C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A6FCE"/>
    <w:multiLevelType w:val="multilevel"/>
    <w:tmpl w:val="A5AC2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43B771B"/>
    <w:multiLevelType w:val="hybridMultilevel"/>
    <w:tmpl w:val="87902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D6E859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E5514"/>
    <w:multiLevelType w:val="multilevel"/>
    <w:tmpl w:val="ECE83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4AEF"/>
    <w:multiLevelType w:val="hybridMultilevel"/>
    <w:tmpl w:val="87902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D6E859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84"/>
    <w:rsid w:val="000357F1"/>
    <w:rsid w:val="00064D84"/>
    <w:rsid w:val="0014556D"/>
    <w:rsid w:val="001D2684"/>
    <w:rsid w:val="00396D24"/>
    <w:rsid w:val="004F533B"/>
    <w:rsid w:val="004F58DC"/>
    <w:rsid w:val="00A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FFE3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556D"/>
    <w:pPr>
      <w:keepNext/>
      <w:keepLines/>
      <w:numPr>
        <w:ilvl w:val="1"/>
        <w:numId w:val="3"/>
      </w:numPr>
      <w:spacing w:line="276" w:lineRule="auto"/>
      <w:ind w:left="792" w:hanging="432"/>
      <w:outlineLvl w:val="1"/>
    </w:pPr>
    <w:rPr>
      <w:rFonts w:ascii="Arial" w:eastAsiaTheme="majorEastAsia" w:hAnsi="Arial" w:cstheme="majorBidi"/>
      <w:b/>
      <w:bCs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556D"/>
    <w:pPr>
      <w:keepNext/>
      <w:keepLines/>
      <w:numPr>
        <w:ilvl w:val="2"/>
        <w:numId w:val="4"/>
      </w:numPr>
      <w:spacing w:before="200" w:after="120" w:line="276" w:lineRule="auto"/>
      <w:ind w:left="1224" w:hanging="504"/>
      <w:outlineLvl w:val="2"/>
    </w:pPr>
    <w:rPr>
      <w:rFonts w:ascii="Arial" w:eastAsiaTheme="majorEastAsia" w:hAnsi="Arial" w:cstheme="majorBidi"/>
      <w:bCs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1455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4556D"/>
    <w:rPr>
      <w:rFonts w:ascii="Arial" w:eastAsiaTheme="majorEastAsia" w:hAnsi="Arial" w:cstheme="majorBidi"/>
      <w:bCs/>
      <w:sz w:val="24"/>
    </w:rPr>
  </w:style>
  <w:style w:type="paragraph" w:styleId="Paragrafoelenco">
    <w:name w:val="List Paragraph"/>
    <w:basedOn w:val="Normale"/>
    <w:uiPriority w:val="34"/>
    <w:qFormat/>
    <w:rsid w:val="00064D8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D2684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D2684"/>
    <w:rPr>
      <w:sz w:val="24"/>
      <w:szCs w:val="24"/>
      <w:lang w:eastAsia="it-IT"/>
    </w:rPr>
  </w:style>
  <w:style w:type="character" w:styleId="Rimandonotaapidipagina">
    <w:name w:val="footnote reference"/>
    <w:basedOn w:val="Caratterepredefinitoparagrafo"/>
    <w:uiPriority w:val="99"/>
    <w:unhideWhenUsed/>
    <w:rsid w:val="001D2684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2684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1D2684"/>
    <w:rPr>
      <w:i/>
      <w:iCs/>
      <w:color w:val="000000" w:themeColor="tex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58D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5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58DC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556D"/>
    <w:pPr>
      <w:keepNext/>
      <w:keepLines/>
      <w:numPr>
        <w:ilvl w:val="1"/>
        <w:numId w:val="3"/>
      </w:numPr>
      <w:spacing w:line="276" w:lineRule="auto"/>
      <w:ind w:left="792" w:hanging="432"/>
      <w:outlineLvl w:val="1"/>
    </w:pPr>
    <w:rPr>
      <w:rFonts w:ascii="Arial" w:eastAsiaTheme="majorEastAsia" w:hAnsi="Arial" w:cstheme="majorBidi"/>
      <w:b/>
      <w:bCs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556D"/>
    <w:pPr>
      <w:keepNext/>
      <w:keepLines/>
      <w:numPr>
        <w:ilvl w:val="2"/>
        <w:numId w:val="4"/>
      </w:numPr>
      <w:spacing w:before="200" w:after="120" w:line="276" w:lineRule="auto"/>
      <w:ind w:left="1224" w:hanging="504"/>
      <w:outlineLvl w:val="2"/>
    </w:pPr>
    <w:rPr>
      <w:rFonts w:ascii="Arial" w:eastAsiaTheme="majorEastAsia" w:hAnsi="Arial" w:cstheme="majorBidi"/>
      <w:bCs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1455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4556D"/>
    <w:rPr>
      <w:rFonts w:ascii="Arial" w:eastAsiaTheme="majorEastAsia" w:hAnsi="Arial" w:cstheme="majorBidi"/>
      <w:bCs/>
      <w:sz w:val="24"/>
    </w:rPr>
  </w:style>
  <w:style w:type="paragraph" w:styleId="Paragrafoelenco">
    <w:name w:val="List Paragraph"/>
    <w:basedOn w:val="Normale"/>
    <w:uiPriority w:val="34"/>
    <w:qFormat/>
    <w:rsid w:val="00064D8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D2684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D2684"/>
    <w:rPr>
      <w:sz w:val="24"/>
      <w:szCs w:val="24"/>
      <w:lang w:eastAsia="it-IT"/>
    </w:rPr>
  </w:style>
  <w:style w:type="character" w:styleId="Rimandonotaapidipagina">
    <w:name w:val="footnote reference"/>
    <w:basedOn w:val="Caratterepredefinitoparagrafo"/>
    <w:uiPriority w:val="99"/>
    <w:unhideWhenUsed/>
    <w:rsid w:val="001D2684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2684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1D2684"/>
    <w:rPr>
      <w:i/>
      <w:iCs/>
      <w:color w:val="000000" w:themeColor="tex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58D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5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58DC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1450</Characters>
  <Application>Microsoft Macintosh Word</Application>
  <DocSecurity>0</DocSecurity>
  <Lines>12</Lines>
  <Paragraphs>3</Paragraphs>
  <ScaleCrop>false</ScaleCrop>
  <Company>*** ********** * ******** **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3</cp:revision>
  <dcterms:created xsi:type="dcterms:W3CDTF">2020-10-24T07:49:00Z</dcterms:created>
  <dcterms:modified xsi:type="dcterms:W3CDTF">2020-10-24T10:33:00Z</dcterms:modified>
</cp:coreProperties>
</file>